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D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750668">
        <w:rPr>
          <w:rFonts w:cs="Times New Roman"/>
          <w:color w:val="000000" w:themeColor="text1"/>
          <w:sz w:val="28"/>
          <w:szCs w:val="28"/>
        </w:rPr>
        <w:t>На основании статьи 59 Конституции Российской Федерации, Федерального закона</w:t>
      </w:r>
      <w:r w:rsidR="005D52FD" w:rsidRPr="005D52FD">
        <w:rPr>
          <w:rFonts w:cs="Times New Roman"/>
          <w:color w:val="000000" w:themeColor="text1"/>
          <w:sz w:val="28"/>
          <w:szCs w:val="28"/>
        </w:rPr>
        <w:t xml:space="preserve"> от 28 марта 1998 г. № 53-ФЗ «О воинской обязанности и военной службе», Постановлением Правительства Российской Федерации от 11 ноября 2006 г. № 663 «Об утверждении положения о призыве на военную службу граждан Российской Федерации» и</w:t>
      </w:r>
      <w:r w:rsidR="005D52FD">
        <w:rPr>
          <w:rFonts w:cs="Times New Roman"/>
          <w:color w:val="000000" w:themeColor="text1"/>
          <w:sz w:val="28"/>
          <w:szCs w:val="28"/>
        </w:rPr>
        <w:t xml:space="preserve"> </w:t>
      </w:r>
      <w:r w:rsidR="005D52FD" w:rsidRPr="005D52FD">
        <w:rPr>
          <w:rFonts w:cs="Times New Roman"/>
          <w:color w:val="000000" w:themeColor="text1"/>
          <w:sz w:val="28"/>
          <w:szCs w:val="28"/>
        </w:rPr>
        <w:t>Указ</w:t>
      </w:r>
      <w:r w:rsidR="005D52FD">
        <w:rPr>
          <w:rFonts w:cs="Times New Roman"/>
          <w:color w:val="000000" w:themeColor="text1"/>
          <w:sz w:val="28"/>
          <w:szCs w:val="28"/>
        </w:rPr>
        <w:t>ом</w:t>
      </w:r>
      <w:r w:rsidR="005D52FD" w:rsidRPr="005D52FD">
        <w:rPr>
          <w:rFonts w:cs="Times New Roman"/>
          <w:color w:val="000000" w:themeColor="text1"/>
          <w:sz w:val="28"/>
          <w:szCs w:val="28"/>
        </w:rPr>
        <w:t xml:space="preserve"> Президента Российской Федерации от 29 сентября 2023 года № 735 «О призыве в ноябре-декабре 2023 года граждан</w:t>
      </w:r>
      <w:proofErr w:type="gramEnd"/>
      <w:r w:rsidR="005D52FD" w:rsidRPr="005D52FD">
        <w:rPr>
          <w:rFonts w:cs="Times New Roman"/>
          <w:color w:val="000000" w:themeColor="text1"/>
          <w:sz w:val="28"/>
          <w:szCs w:val="28"/>
        </w:rPr>
        <w:t xml:space="preserve"> РФ на военную службу и об увольнении с военной службы граждан, проходящих военную службу по призыву»</w:t>
      </w:r>
      <w:r w:rsidR="00AF4689" w:rsidRPr="00AF4689">
        <w:t xml:space="preserve"> </w:t>
      </w:r>
      <w:r w:rsidR="00AF4689" w:rsidRPr="00AF4689">
        <w:rPr>
          <w:rFonts w:cs="Times New Roman"/>
          <w:color w:val="000000" w:themeColor="text1"/>
          <w:sz w:val="28"/>
          <w:szCs w:val="28"/>
        </w:rPr>
        <w:t>в муниципальном округе Ясенево осуществлен призыв граждан на военную службу</w:t>
      </w:r>
      <w:r w:rsidR="005D52FD">
        <w:rPr>
          <w:rFonts w:cs="Times New Roman"/>
          <w:color w:val="000000" w:themeColor="text1"/>
          <w:sz w:val="28"/>
          <w:szCs w:val="28"/>
        </w:rPr>
        <w:t>.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 xml:space="preserve">Во время призыва граждан в управе района Ясенево города Москвы создается и осуществляет свою деятельность межведомственная рабочая группа по вопросам подготовки и проведения призыва граждан на военную службу в ряды Вооруженных сил Российской Федерации. </w:t>
      </w:r>
      <w:proofErr w:type="gramStart"/>
      <w:r w:rsidRPr="00750668">
        <w:rPr>
          <w:rFonts w:cs="Times New Roman"/>
          <w:color w:val="000000" w:themeColor="text1"/>
          <w:sz w:val="28"/>
          <w:szCs w:val="28"/>
        </w:rPr>
        <w:t xml:space="preserve">В ее работе принимают участие глава управы района Ясенево города Москвы А.Ю. </w:t>
      </w:r>
      <w:proofErr w:type="spellStart"/>
      <w:r w:rsidRPr="00750668">
        <w:rPr>
          <w:rFonts w:cs="Times New Roman"/>
          <w:color w:val="000000" w:themeColor="text1"/>
          <w:sz w:val="28"/>
          <w:szCs w:val="28"/>
        </w:rPr>
        <w:t>Толчеев</w:t>
      </w:r>
      <w:proofErr w:type="spellEnd"/>
      <w:r w:rsidRPr="00750668">
        <w:rPr>
          <w:rFonts w:cs="Times New Roman"/>
          <w:color w:val="000000" w:themeColor="text1"/>
          <w:sz w:val="28"/>
          <w:szCs w:val="28"/>
        </w:rPr>
        <w:t xml:space="preserve">, глава муниципального округа Ясенево, председатель призывной комиссии И.В. Гришина, военный комиссар по Черемушкинскому району ЮЗАО города Москвы Э. П. Завалишин, заместитель главы управы района Ясенево города Москвы Д.А. </w:t>
      </w:r>
      <w:proofErr w:type="spellStart"/>
      <w:r w:rsidRPr="00750668">
        <w:rPr>
          <w:rFonts w:cs="Times New Roman"/>
          <w:color w:val="000000" w:themeColor="text1"/>
          <w:sz w:val="28"/>
          <w:szCs w:val="28"/>
        </w:rPr>
        <w:t>Семейкин</w:t>
      </w:r>
      <w:proofErr w:type="spellEnd"/>
      <w:r w:rsidRPr="00750668">
        <w:rPr>
          <w:rFonts w:cs="Times New Roman"/>
          <w:color w:val="000000" w:themeColor="text1"/>
          <w:sz w:val="28"/>
          <w:szCs w:val="28"/>
        </w:rPr>
        <w:t>, представители ОМВД по району Ясенево, сотрудники ОПОП и ДНД, ответственные за работу по призыву в</w:t>
      </w:r>
      <w:proofErr w:type="gramEnd"/>
      <w:r w:rsidRPr="00750668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Pr="00750668">
        <w:rPr>
          <w:rFonts w:cs="Times New Roman"/>
          <w:color w:val="000000" w:themeColor="text1"/>
          <w:sz w:val="28"/>
          <w:szCs w:val="28"/>
        </w:rPr>
        <w:t>районе</w:t>
      </w:r>
      <w:proofErr w:type="gramEnd"/>
      <w:r w:rsidRPr="00750668">
        <w:rPr>
          <w:rFonts w:cs="Times New Roman"/>
          <w:color w:val="000000" w:themeColor="text1"/>
          <w:sz w:val="28"/>
          <w:szCs w:val="28"/>
        </w:rPr>
        <w:t xml:space="preserve"> Ясенево.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 xml:space="preserve">Все мероприятия, связанные с призывом граждан на военную службу,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Ясенево выполнены. 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 xml:space="preserve">Председателем и членами призывной комиссии совместно с управой района Ясенево города Москвы проводились все необходимые мероприятия по обеспечению исполнения гражданами воинской обязанности и их явки в Военный комиссариат. Проходило оповещение граждан, подлежащих призыву на военную службу и проживающих в районе Ясенево, с вручением им персональных повесток. </w:t>
      </w:r>
      <w:proofErr w:type="gramStart"/>
      <w:r w:rsidRPr="00750668">
        <w:rPr>
          <w:rFonts w:cs="Times New Roman"/>
          <w:color w:val="000000" w:themeColor="text1"/>
          <w:sz w:val="28"/>
          <w:szCs w:val="28"/>
        </w:rPr>
        <w:t>Совместно с ОМВД по району Ясенево и управой района проводилась работа по розыску и доставке в Черемушкинский ОВК призывников, уклоняющихся от явки в Военкомат.</w:t>
      </w:r>
      <w:proofErr w:type="gramEnd"/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В муниципальном округе Ясенево во время проведения осеннего призыва граждан на военную службу в 2023 г., проведена следующая работа: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согласован и утвержден план подготовки и проведения призыва на военную службу в ноябре – декабре 2023 г. граждан, состоящих на воинском учете в Военном комиссариате (объединенного, Черемушкинского района ЮЗАО г. Москвы);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Мэром города Москвы утвержден состав призывной комиссии района Ясенево. Председатель призывной комиссии района Ясенево И.В. Гришина – глава муниципального округа Ясенево;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750668">
        <w:rPr>
          <w:rFonts w:cs="Times New Roman"/>
          <w:color w:val="000000" w:themeColor="text1"/>
          <w:sz w:val="28"/>
          <w:szCs w:val="28"/>
        </w:rPr>
        <w:t xml:space="preserve">— согласованы с Военным комиссаром и утверждены главой муниципального округа Ясенево графики заседаний призывной комиссии и графики заседаний призывной комиссии по рассмотрению вопроса о зачислении в запас граждан, </w:t>
      </w:r>
      <w:r w:rsidRPr="00750668">
        <w:rPr>
          <w:rFonts w:cs="Times New Roman"/>
          <w:color w:val="000000" w:themeColor="text1"/>
          <w:sz w:val="28"/>
          <w:szCs w:val="28"/>
        </w:rPr>
        <w:lastRenderedPageBreak/>
        <w:t>подлежащих призыву на военную службу и не прошедших ее до достижения ими возраста 27 лет;</w:t>
      </w:r>
      <w:proofErr w:type="gramEnd"/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размещалась информация, в том числе представленная Военным комиссариатом, на уличных стендах; ход подготовки к призыву 2023 г.,  мероприятия, организованные во время призыва, освещались на официальном сайте органов местного самоуправления www.moyasenevo.ru и на официальных страницах в социальных сетях;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в рамках своих полномочий аппаратом СД МО Ясенево обеспечивалась допризывная работа с гражданами;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обеспечивалось 100% участие членов призывной комиссии в заседаниях;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проводился прием жителей по вопросам призыва и прохождения военной службы;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— рассматривались обращения и жалобы граждан, поступающие в ходе призывной кампании.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В ходе проведения осенней призывной кампании 2023 года проведено 40 заседаний призывной комиссии. Установленное задание по призыву граждан на военную службу выполнено в полном объеме.</w:t>
      </w:r>
    </w:p>
    <w:p w:rsidR="00750668" w:rsidRPr="00750668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750668">
        <w:rPr>
          <w:rFonts w:cs="Times New Roman"/>
          <w:color w:val="000000" w:themeColor="text1"/>
          <w:sz w:val="28"/>
          <w:szCs w:val="28"/>
        </w:rPr>
        <w:t>Итоги осеннего призыва граждан на военную службу в муниципальном округе Ясенево и вопросы взаимодействия администрации муниципального округа, Военного комиссариата Черемушкинского района ЮЗАО города Москвы, отдела Министерства внутренних дел РФ и других организаций и служб рассмотрены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</w:t>
      </w:r>
      <w:proofErr w:type="gramEnd"/>
      <w:r w:rsidRPr="00750668">
        <w:rPr>
          <w:rFonts w:cs="Times New Roman"/>
          <w:color w:val="000000" w:themeColor="text1"/>
          <w:sz w:val="28"/>
          <w:szCs w:val="28"/>
        </w:rPr>
        <w:t xml:space="preserve"> службу.</w:t>
      </w:r>
    </w:p>
    <w:p w:rsidR="005D52FD" w:rsidRDefault="00750668" w:rsidP="00AF4689">
      <w:pPr>
        <w:tabs>
          <w:tab w:val="left" w:pos="8789"/>
        </w:tabs>
        <w:spacing w:after="0" w:line="240" w:lineRule="auto"/>
        <w:ind w:left="284" w:right="-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750668">
        <w:rPr>
          <w:rFonts w:cs="Times New Roman"/>
          <w:color w:val="000000" w:themeColor="text1"/>
          <w:sz w:val="28"/>
          <w:szCs w:val="28"/>
        </w:rPr>
        <w:t>По окончанию осеннего призыва граждан направлен отчет Мэру Москвы об итогах призыва.</w:t>
      </w:r>
    </w:p>
    <w:p w:rsidR="007B3DF2" w:rsidRDefault="007B3DF2" w:rsidP="00E3711B">
      <w:pPr>
        <w:spacing w:after="0" w:line="240" w:lineRule="auto"/>
        <w:ind w:left="-426"/>
        <w:jc w:val="both"/>
      </w:pPr>
    </w:p>
    <w:p w:rsidR="007B3DF2" w:rsidRDefault="007B3DF2" w:rsidP="007B3DF2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28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1417"/>
        <w:gridCol w:w="1418"/>
        <w:gridCol w:w="1559"/>
        <w:gridCol w:w="1417"/>
      </w:tblGrid>
      <w:tr w:rsidR="00AF4689" w:rsidRPr="00750668" w:rsidTr="00AF4689">
        <w:trPr>
          <w:trHeight w:val="97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11B" w:rsidRPr="00AF4689" w:rsidRDefault="00E3711B" w:rsidP="00750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Призывная кампания</w:t>
            </w:r>
          </w:p>
          <w:p w:rsidR="00AF4689" w:rsidRPr="00AF4689" w:rsidRDefault="00AF4689" w:rsidP="00750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711B" w:rsidRPr="00AF4689" w:rsidRDefault="00E3711B" w:rsidP="00E371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711B" w:rsidRPr="00AF4689" w:rsidRDefault="00E3711B" w:rsidP="00E3711B">
            <w:pPr>
              <w:spacing w:after="0" w:line="240" w:lineRule="auto"/>
              <w:ind w:firstLine="5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прошло комиссию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AF4689" w:rsidRDefault="00E3711B" w:rsidP="007B3DF2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Призвано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689" w:rsidRPr="00AF4689" w:rsidRDefault="00E3711B" w:rsidP="0075066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Получили </w:t>
            </w:r>
          </w:p>
          <w:p w:rsidR="00E3711B" w:rsidRPr="00AF4689" w:rsidRDefault="00E3711B" w:rsidP="0075066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отсрочку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4689" w:rsidRPr="00AF4689" w:rsidRDefault="00E3711B" w:rsidP="00AF4689">
            <w:pPr>
              <w:spacing w:after="0" w:line="240" w:lineRule="auto"/>
              <w:ind w:left="-175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Освобождены </w:t>
            </w:r>
          </w:p>
          <w:p w:rsidR="00E3711B" w:rsidRPr="00AF4689" w:rsidRDefault="00E3711B" w:rsidP="00AF4689">
            <w:pPr>
              <w:spacing w:after="0" w:line="240" w:lineRule="auto"/>
              <w:ind w:left="-175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 службы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AF4689" w:rsidRDefault="00E3711B" w:rsidP="00E3711B">
            <w:pPr>
              <w:spacing w:after="0" w:line="240" w:lineRule="auto"/>
              <w:ind w:left="-84" w:right="-108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Отправлено </w:t>
            </w:r>
          </w:p>
        </w:tc>
      </w:tr>
      <w:tr w:rsidR="00AF4689" w:rsidRPr="00750668" w:rsidTr="00AF4689">
        <w:trPr>
          <w:trHeight w:val="97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3DF2" w:rsidRPr="00AF4689" w:rsidRDefault="007B3DF2" w:rsidP="00E371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E3711B" w:rsidRPr="00AF4689" w:rsidRDefault="00E3711B" w:rsidP="00E3711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Cs/>
                <w:szCs w:val="24"/>
                <w:lang w:eastAsia="ru-RU"/>
              </w:rPr>
              <w:t>осенняя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AF4689" w:rsidRDefault="00E3711B" w:rsidP="00E3711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Cs/>
                <w:color w:val="000000" w:themeColor="text1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AF4689" w:rsidRDefault="00E3711B" w:rsidP="00E3711B">
            <w:pPr>
              <w:spacing w:after="0" w:line="240" w:lineRule="auto"/>
              <w:ind w:left="-132"/>
              <w:jc w:val="center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  <w:r w:rsidRPr="00AF4689">
              <w:rPr>
                <w:rFonts w:eastAsia="Times New Roman" w:cs="Times New Roman"/>
                <w:bCs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E26563" w:rsidRDefault="00E3711B" w:rsidP="00E26563">
            <w:pPr>
              <w:spacing w:after="0" w:line="240" w:lineRule="auto"/>
              <w:ind w:left="-13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AF4689">
              <w:rPr>
                <w:rFonts w:eastAsia="Times New Roman" w:cs="Times New Roman"/>
                <w:bCs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AF4689" w:rsidRDefault="00E3711B" w:rsidP="00E3711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  <w:r w:rsidRPr="00AF4689">
              <w:rPr>
                <w:rFonts w:eastAsia="Times New Roman" w:cs="Times New Roman"/>
                <w:bCs/>
                <w:szCs w:val="24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AF4689" w:rsidRDefault="00E3711B" w:rsidP="00E3711B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  <w:r w:rsidRPr="00AF4689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11B" w:rsidRPr="00E26563" w:rsidRDefault="00E3711B" w:rsidP="00E26563">
            <w:pPr>
              <w:spacing w:after="0" w:line="240" w:lineRule="auto"/>
              <w:ind w:left="-249"/>
              <w:jc w:val="center"/>
              <w:rPr>
                <w:rFonts w:eastAsia="Times New Roman" w:cs="Times New Roman"/>
                <w:bCs/>
                <w:szCs w:val="24"/>
                <w:highlight w:val="yellow"/>
                <w:lang w:eastAsia="ru-RU"/>
              </w:rPr>
            </w:pPr>
            <w:r w:rsidRPr="00AF4689">
              <w:rPr>
                <w:rFonts w:eastAsia="Times New Roman" w:cs="Times New Roman"/>
                <w:bCs/>
                <w:szCs w:val="24"/>
                <w:lang w:eastAsia="ru-RU"/>
              </w:rPr>
              <w:t>103</w:t>
            </w:r>
            <w:bookmarkStart w:id="0" w:name="_GoBack"/>
            <w:bookmarkEnd w:id="0"/>
          </w:p>
        </w:tc>
      </w:tr>
    </w:tbl>
    <w:p w:rsidR="00E3711B" w:rsidRPr="00750668" w:rsidRDefault="00E3711B" w:rsidP="00E3711B">
      <w:pPr>
        <w:rPr>
          <w:sz w:val="22"/>
        </w:rPr>
      </w:pPr>
    </w:p>
    <w:sectPr w:rsidR="00E3711B" w:rsidRPr="00750668" w:rsidSect="00750668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EF"/>
    <w:rsid w:val="004977A2"/>
    <w:rsid w:val="005D52FD"/>
    <w:rsid w:val="00750668"/>
    <w:rsid w:val="007B3DF2"/>
    <w:rsid w:val="007C6DEF"/>
    <w:rsid w:val="00AA4599"/>
    <w:rsid w:val="00AF4689"/>
    <w:rsid w:val="00E26563"/>
    <w:rsid w:val="00E3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2024-04-01T14:27:00Z</dcterms:created>
  <dcterms:modified xsi:type="dcterms:W3CDTF">2024-04-02T07:28:00Z</dcterms:modified>
</cp:coreProperties>
</file>